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4B2" w:rsidRPr="00B504B2" w:rsidRDefault="00B504B2" w:rsidP="00B504B2">
      <w:pPr>
        <w:keepNext/>
        <w:keepLines/>
        <w:numPr>
          <w:ilvl w:val="0"/>
          <w:numId w:val="2"/>
        </w:numPr>
        <w:spacing w:before="200" w:after="0" w:line="360" w:lineRule="exact"/>
        <w:jc w:val="left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lang w:eastAsia="ru-RU"/>
        </w:rPr>
      </w:pPr>
      <w:bookmarkStart w:id="0" w:name="_Toc386632358"/>
      <w:bookmarkStart w:id="1" w:name="_Toc479276153"/>
      <w:r w:rsidRPr="00B504B2">
        <w:rPr>
          <w:rFonts w:asciiTheme="majorHAnsi" w:eastAsiaTheme="majorEastAsia" w:hAnsiTheme="majorHAnsi" w:cstheme="majorBidi"/>
          <w:b/>
          <w:bCs/>
          <w:color w:val="4F81BD" w:themeColor="accent1"/>
          <w:lang w:eastAsia="ru-RU"/>
        </w:rPr>
        <w:t xml:space="preserve">Краткая характеристика вариантов </w:t>
      </w:r>
      <w:bookmarkEnd w:id="0"/>
      <w:r w:rsidRPr="00B504B2">
        <w:rPr>
          <w:rFonts w:asciiTheme="majorHAnsi" w:eastAsiaTheme="majorEastAsia" w:hAnsiTheme="majorHAnsi" w:cstheme="majorBidi"/>
          <w:b/>
          <w:bCs/>
          <w:color w:val="4F81BD" w:themeColor="accent1"/>
          <w:lang w:eastAsia="ru-RU"/>
        </w:rPr>
        <w:t>прогноза</w:t>
      </w:r>
      <w:bookmarkEnd w:id="1"/>
    </w:p>
    <w:p w:rsidR="00B504B2" w:rsidRPr="00B504B2" w:rsidRDefault="00B504B2" w:rsidP="00B504B2">
      <w:pPr>
        <w:spacing w:after="0" w:line="360" w:lineRule="exact"/>
        <w:ind w:firstLine="709"/>
        <w:rPr>
          <w:rFonts w:eastAsia="Times New Roman"/>
          <w:lang w:eastAsia="ru-RU"/>
        </w:rPr>
      </w:pPr>
      <w:proofErr w:type="gramStart"/>
      <w:r w:rsidRPr="00B504B2">
        <w:rPr>
          <w:rFonts w:eastAsia="Times New Roman"/>
          <w:lang w:eastAsia="ru-RU"/>
        </w:rPr>
        <w:t xml:space="preserve">Прогноз сценарных условий и основных макроэкономических параметров социально-экономического развития Российской Федерации на 2018 – 2020 гг. разработан в составе трех основных вариантов – базового, консервативного и целевого. </w:t>
      </w:r>
      <w:proofErr w:type="gramEnd"/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 xml:space="preserve">Прогноз основан на предпосылке о постепенном замедлении мирового экономического роста с 3,2 % в 2016 году до 2,8 % к 2020 году, что обусловлено ожиданием замедления темпов экономического роста как в развитых, так  и  в  развивающихся странах. 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В развитых странах на уровне экономической активности будет сказываться с  одной стороны – замедление потенциального роста (на фоне неблагоприятной демографической ситуации – старения населения и увеличения численности населения выше трудоспособного возраста), а с другой – исчерпание возможностей посткризисного восстановительного роста.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Так, в США период посткризисного восстановления практически завершился: уровень безработицы снизился до уровней, наблюдавшихся в период до мирового финансового кризиса 2008 – 2009 годов, индикаторы инфляционного давления вплотную приблизились к целевому значению 2 процента. Описанная ситуация отражается на  денежно-кредитной политике ФРС США, которая, по собственным оценкам, планирует повысить целевой уровень процентной ставки по федеральным фондам еще дважды до конца 2017 года. По оценке Минэкономразвития России, ужесточение денежно-кредитной политики ФРС США в текущем году может оказаться более существенным. Кроме того, в последующие три года денежно-кредитная политика в  США будет направлена на нейтрализацию воздействия на инфляционные ожидания фискального стимула в случае его реализации. Таким образом, в базовом сценарии прогнозируется замедление темпов роста экономики США с 2,0 % в текущем году        до 1–1,5 % в последующие три года.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В Еврозоне восстановительный рост сохранится в текущем и следующем годах, однако по мере приближения к полной занятости темпы роста замедлятся до 0,5 % в  2019 – 2020 годах в силу действия структурных ограничений.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Значимый вклад в замедление мирового экономического роста внесет охлаждение экономической активности в китайской экономике, что будет связано с необходимостью структурной перестройки из-за исчерпания инвестиционно-ориентированной модели роста в условиях значительного перенакопления капитала в инфраструктурном секторе. По оценкам Минэкономразвития России, темпы роста ВВП Китая замедлятся с 6,6 % в  2016 году до 5,5 % к 2020 году.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Кроме того, Минэкономразвития России закладывает сохранение действия финансовых и экономических санкций в отношении российской экономики, а также ответных мер на протяжении всего прогнозного периода.</w:t>
      </w:r>
    </w:p>
    <w:p w:rsidR="00B504B2" w:rsidRPr="00B504B2" w:rsidRDefault="00B504B2" w:rsidP="00B504B2">
      <w:pPr>
        <w:spacing w:after="0" w:line="360" w:lineRule="exact"/>
        <w:ind w:firstLine="709"/>
        <w:rPr>
          <w:rFonts w:ascii="Calibri" w:eastAsia="Times New Roman" w:hAnsi="Calibri"/>
          <w:color w:val="1F497D"/>
          <w:sz w:val="22"/>
          <w:szCs w:val="22"/>
        </w:rPr>
      </w:pPr>
      <w:r w:rsidRPr="00B504B2">
        <w:rPr>
          <w:rFonts w:eastAsia="Times New Roman"/>
          <w:lang w:eastAsia="ru-RU"/>
        </w:rPr>
        <w:lastRenderedPageBreak/>
        <w:t xml:space="preserve">Прогноз ситуации на рынке энергоносителей традиционно основан на  консервативных предпосылках и базируется на </w:t>
      </w:r>
      <w:proofErr w:type="gramStart"/>
      <w:r w:rsidRPr="00B504B2">
        <w:rPr>
          <w:rFonts w:eastAsia="Times New Roman"/>
          <w:lang w:eastAsia="ru-RU"/>
        </w:rPr>
        <w:t>имеющихся</w:t>
      </w:r>
      <w:proofErr w:type="gramEnd"/>
      <w:r w:rsidRPr="00B504B2">
        <w:rPr>
          <w:rFonts w:eastAsia="Times New Roman"/>
          <w:lang w:eastAsia="ru-RU"/>
        </w:rPr>
        <w:t xml:space="preserve"> на момент разработки прогноза договоренностях. Таким образом, в текущем </w:t>
      </w:r>
      <w:proofErr w:type="gramStart"/>
      <w:r w:rsidRPr="00B504B2">
        <w:rPr>
          <w:rFonts w:eastAsia="Times New Roman"/>
          <w:lang w:eastAsia="ru-RU"/>
        </w:rPr>
        <w:t>прогнозе</w:t>
      </w:r>
      <w:proofErr w:type="gramEnd"/>
      <w:r w:rsidRPr="00B504B2">
        <w:rPr>
          <w:rFonts w:eastAsia="Times New Roman"/>
          <w:lang w:eastAsia="ru-RU"/>
        </w:rPr>
        <w:t xml:space="preserve"> социально-экономического развития ожидается завершение действия соглашения о заморозке добычи нефти в июне 2017 года. </w:t>
      </w:r>
      <w:proofErr w:type="gramStart"/>
      <w:r w:rsidRPr="00B504B2">
        <w:rPr>
          <w:rFonts w:eastAsia="Times New Roman"/>
          <w:lang w:eastAsia="ru-RU"/>
        </w:rPr>
        <w:t xml:space="preserve">Возврат объемов добычи ОПЕК к максимальным уровням после вероятного </w:t>
      </w:r>
      <w:proofErr w:type="spellStart"/>
      <w:r w:rsidRPr="00B504B2">
        <w:rPr>
          <w:rFonts w:eastAsia="Times New Roman"/>
          <w:lang w:eastAsia="ru-RU"/>
        </w:rPr>
        <w:t>непродления</w:t>
      </w:r>
      <w:proofErr w:type="spellEnd"/>
      <w:r w:rsidRPr="00B504B2">
        <w:rPr>
          <w:rFonts w:eastAsia="Times New Roman"/>
          <w:lang w:eastAsia="ru-RU"/>
        </w:rPr>
        <w:t xml:space="preserve"> соглашения о заморозке добычи ведущими производителями, сохранение коммерческих запасов нефти и нефтепродуктов в США на  исторических максимумах, а также наращивание добычи американской сланцевой нефти станут причиной снижения цен на нефть марки «Юралс» до 40 долларов США за  баррель к концу текущего года.</w:t>
      </w:r>
      <w:proofErr w:type="gramEnd"/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Указанный уровень цен на нефть оценивается Минэкономразвития России как равновесный (обеспечивающий баланс спроса и предложения) и в дальнейшем прогнозируется сохранение цены на нефть марки «Юралс» на уровне 40 долларов США за баррель в ценах 2017 года.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При разработке целевого варианта развития российской экономики Минэкономразвития России исходил из аналогичных внешнеэкономических предпосылок. В консервативный вариант прогноза была заложена предпосылка о более существенном замедлении мирового экономического роста, что в первую очередь будет связано с «жесткой посадкой» экономики Китая, спровоцированной схлопыванием пузырей на рынках финансовых и нефинансовых активов. В этих условиях, как ожидается, цена на нефть марки «Юралс» опустится до уровня 35 долларов США за  баррель к концу текущего года и сохранится на этом уровне до конца прогнозного периода.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Действие соглашения об ограничении добычи нефти в течение первого полугодия текущего года, по оценке Минэкономразвития России, ограничит объем добываемой нефти уровнем предыдущего года (549 млн. тонн). В дальнейшем в прогноз закладывается объем добычи нефти на  уровне 553 млн. тонн в год в 2018 – 2020 годах. Одновременно прогнозируется снижение поставок нефти на внутренний рынок (с учетом обеспеченности внутреннего рынка и повышения глубины переработки) и рост экспорта нефти (с учетом привлекательности экспорта нефти, снижения первичной переработки нефти и  увеличения глубины ее переработки из-за принятого «налогового маневра»). Аналогичные предпосылки заложены и в консервативный сценарий развития российской экономики.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В целевом варианте прогноза развития российской экономики с учетом создания условий для интенсификации инвестиционной деятельности (в том числе в  добывающей отрасли) ожидается некоторое увеличение добычи нефти за счет внедрения новых передовых технологий и ввода новых месторождений, расположенных в удаленных регионах со сложными условиями. В результате объем добычи нефти в  целевом сценарии будет составлять 556 млн. тонн в год в 2018 – 2020 годах.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lastRenderedPageBreak/>
        <w:t>Важными факторами, оказывающими воздействие на развитие ситуации в</w:t>
      </w:r>
      <w:r w:rsidRPr="00B504B2">
        <w:rPr>
          <w:rFonts w:eastAsia="Times New Roman"/>
          <w:sz w:val="24"/>
          <w:szCs w:val="24"/>
          <w:lang w:eastAsia="ru-RU"/>
        </w:rPr>
        <w:t> </w:t>
      </w:r>
      <w:r w:rsidRPr="00B504B2">
        <w:rPr>
          <w:rFonts w:eastAsia="Times New Roman"/>
          <w:lang w:eastAsia="ru-RU"/>
        </w:rPr>
        <w:t xml:space="preserve"> российской экономике, на прогнозном горизонте будут оставаться основополагающие принципы бюджетной и денежно-кредитной политики. </w:t>
      </w:r>
    </w:p>
    <w:p w:rsidR="00027243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proofErr w:type="gramStart"/>
      <w:r w:rsidRPr="00B504B2">
        <w:rPr>
          <w:rFonts w:eastAsia="Times New Roman"/>
          <w:lang w:eastAsia="ru-RU"/>
        </w:rPr>
        <w:t>Во все три сценария прогноза заложена реализация бюджетной политики в</w:t>
      </w:r>
      <w:r w:rsidRPr="00B504B2">
        <w:rPr>
          <w:rFonts w:eastAsia="Times New Roman"/>
          <w:sz w:val="24"/>
          <w:szCs w:val="24"/>
          <w:lang w:eastAsia="ru-RU"/>
        </w:rPr>
        <w:t> </w:t>
      </w:r>
      <w:r w:rsidRPr="00B504B2">
        <w:rPr>
          <w:rFonts w:eastAsia="Times New Roman"/>
          <w:lang w:eastAsia="ru-RU"/>
        </w:rPr>
        <w:t xml:space="preserve"> соответствии с переходными положениями модифицированных бюджетных правил с  фиксацией базовой цены нефти марки «Юралс» на уровне 40 долларов США за  баррель в реальном выражении (в ценах 2017 года).</w:t>
      </w:r>
      <w:proofErr w:type="gramEnd"/>
      <w:r w:rsidRPr="00B504B2">
        <w:rPr>
          <w:rFonts w:eastAsia="Times New Roman"/>
          <w:lang w:eastAsia="ru-RU"/>
        </w:rPr>
        <w:t xml:space="preserve"> Таким образом, сценарии прогноза предполагают </w:t>
      </w:r>
      <w:proofErr w:type="spellStart"/>
      <w:r w:rsidRPr="00B504B2">
        <w:rPr>
          <w:rFonts w:eastAsia="Times New Roman"/>
          <w:lang w:eastAsia="ru-RU"/>
        </w:rPr>
        <w:t>взаимоувязку</w:t>
      </w:r>
      <w:proofErr w:type="spellEnd"/>
      <w:r w:rsidRPr="00B504B2">
        <w:rPr>
          <w:rFonts w:eastAsia="Times New Roman"/>
          <w:lang w:eastAsia="ru-RU"/>
        </w:rPr>
        <w:t xml:space="preserve"> первичных расходов федерального бюджета с</w:t>
      </w:r>
      <w:r w:rsidRPr="00B504B2">
        <w:rPr>
          <w:rFonts w:eastAsia="Times New Roman"/>
          <w:sz w:val="24"/>
          <w:szCs w:val="24"/>
          <w:lang w:eastAsia="ru-RU"/>
        </w:rPr>
        <w:t> </w:t>
      </w:r>
      <w:r w:rsidRPr="00B504B2">
        <w:rPr>
          <w:rFonts w:eastAsia="Times New Roman"/>
          <w:lang w:eastAsia="ru-RU"/>
        </w:rPr>
        <w:t xml:space="preserve"> уровнем нефтегазовых доходов, рассчита</w:t>
      </w:r>
      <w:r w:rsidR="00027243">
        <w:rPr>
          <w:rFonts w:eastAsia="Times New Roman"/>
          <w:lang w:eastAsia="ru-RU"/>
        </w:rPr>
        <w:t>нным при базовой цене на нефть.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proofErr w:type="gramStart"/>
      <w:r w:rsidRPr="00B504B2">
        <w:rPr>
          <w:rFonts w:eastAsia="Times New Roman"/>
          <w:lang w:eastAsia="ru-RU"/>
        </w:rPr>
        <w:t>Кроме того, реализация бюджетной политики в соответствии с переходными положениями «модифицированных бюджетных правил» предполагает осуществление Минфином России операций по покупке иностранной валюты на внутреннем валютном рынке в объеме дополнительных нефтегазовых доходов федерального бюджета, полученных в результате превышения фактической ценой нефти марки «Юралс» уровня 40 долларов США за баррель (в реальном выражении).</w:t>
      </w:r>
      <w:proofErr w:type="gramEnd"/>
      <w:r w:rsidRPr="00B504B2">
        <w:rPr>
          <w:rFonts w:eastAsia="Times New Roman"/>
          <w:lang w:eastAsia="ru-RU"/>
        </w:rPr>
        <w:t xml:space="preserve"> По оценкам Минэкономразвития России, объем покупок иностранной валюты Минфином России составит в 2017 году около 13  млрд. долларов США. В дальнейшем сальдо операций Минфина России прогнозируется нулевым при нахождении прогнозной цены на нефть марки «Юралс» на  базовом уровне.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 xml:space="preserve">Проведение Минфином России операций по покупке иностранной валюты в  объеме дополнительных нефтегазовых доходов в текущем году позволит в  значительной степени нивелировать воздействие более высоких (по сравнению с  базовым уровнем) цен на нефть на динамику обменного курса рубля. </w:t>
      </w:r>
      <w:proofErr w:type="gramStart"/>
      <w:r w:rsidRPr="00B504B2">
        <w:rPr>
          <w:rFonts w:eastAsia="Times New Roman"/>
          <w:lang w:eastAsia="ru-RU"/>
        </w:rPr>
        <w:t>При этом Минэкономразвития России закладывает в базовый и целевой сценарии прогноза ослабление рубля (до 68,0 рубля за доллар к концу текущего года) по мере исчерпания разовых факторов начала года, действующих на курс рубля в сторону укрепления, «нормализации» потоков капитала в страны с формирующимися рынками и снижения цен на нефть до 40 долларов США за баррель.</w:t>
      </w:r>
      <w:proofErr w:type="gramEnd"/>
      <w:r w:rsidRPr="00B504B2">
        <w:rPr>
          <w:rFonts w:eastAsia="Times New Roman"/>
          <w:lang w:eastAsia="ru-RU"/>
        </w:rPr>
        <w:t xml:space="preserve"> В дальнейшем при стабилизации условий торговли в базовом варианте прогноза ожидается стабилизация реального эффективного курса рубля и, соответственно, номинальное ослабление рубля темпами, определяемыми инфляционным дифференциалом с торговыми партнерами. В целевом варианте ожидается умеренное укрепление рубля в реальном выражении, обусловленное ростом дифференциала производительностей (эффект </w:t>
      </w:r>
      <w:proofErr w:type="spellStart"/>
      <w:r w:rsidRPr="00B504B2">
        <w:rPr>
          <w:rFonts w:eastAsia="Times New Roman"/>
          <w:lang w:eastAsia="ru-RU"/>
        </w:rPr>
        <w:t>Балассы-Самуэльсона</w:t>
      </w:r>
      <w:proofErr w:type="spellEnd"/>
      <w:r w:rsidRPr="00B504B2">
        <w:rPr>
          <w:rFonts w:eastAsia="Times New Roman"/>
          <w:lang w:eastAsia="ru-RU"/>
        </w:rPr>
        <w:t>).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 xml:space="preserve">В консервативном варианте в 2017 – 2020 годах закладывается более существенное ослабление рубля при снижении цен на нефть до 35 долларов США за баррель к концу 2017 года и продолжении снижения цен на нефть в реальном выражении в течение   2018 – 2020 годов. В течение 2017 года тренд на ослабление рубля в </w:t>
      </w:r>
      <w:proofErr w:type="gramStart"/>
      <w:r w:rsidRPr="00B504B2">
        <w:rPr>
          <w:rFonts w:eastAsia="Times New Roman"/>
          <w:lang w:eastAsia="ru-RU"/>
        </w:rPr>
        <w:t>результате</w:t>
      </w:r>
      <w:proofErr w:type="gramEnd"/>
      <w:r w:rsidRPr="00B504B2">
        <w:rPr>
          <w:rFonts w:eastAsia="Times New Roman"/>
          <w:lang w:eastAsia="ru-RU"/>
        </w:rPr>
        <w:t xml:space="preserve"> снижения цен на нефть будет несколько смягчен продажами иностранной валюты Минфина России, в результате чего изменение валютных </w:t>
      </w:r>
      <w:r w:rsidRPr="00B504B2">
        <w:rPr>
          <w:rFonts w:eastAsia="Times New Roman"/>
          <w:lang w:eastAsia="ru-RU"/>
        </w:rPr>
        <w:lastRenderedPageBreak/>
        <w:t>резервов в 2017 году в этом варианте прогноза будет нулевым. В последующие годы продажи валюты Минфином России не  прогнозируются.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 xml:space="preserve">Во всех трех сценариях экономического развития также предполагается продолжение реализации денежно-кредитной политики в рамках режима инфляционного </w:t>
      </w:r>
      <w:proofErr w:type="spellStart"/>
      <w:r w:rsidRPr="00B504B2">
        <w:rPr>
          <w:rFonts w:eastAsia="Times New Roman"/>
          <w:lang w:eastAsia="ru-RU"/>
        </w:rPr>
        <w:t>таргетирования</w:t>
      </w:r>
      <w:proofErr w:type="spellEnd"/>
      <w:r w:rsidRPr="00B504B2">
        <w:rPr>
          <w:rFonts w:eastAsia="Times New Roman"/>
          <w:lang w:eastAsia="ru-RU"/>
        </w:rPr>
        <w:t xml:space="preserve">, что предполагает стремление Банка России обеспечить нахождение инфляции вблизи целевого уровня 4 %, а также приверженность принципам свободного </w:t>
      </w:r>
      <w:proofErr w:type="spellStart"/>
      <w:r w:rsidRPr="00B504B2">
        <w:rPr>
          <w:rFonts w:eastAsia="Times New Roman"/>
          <w:lang w:eastAsia="ru-RU"/>
        </w:rPr>
        <w:t>курсообразования</w:t>
      </w:r>
      <w:proofErr w:type="spellEnd"/>
      <w:r w:rsidRPr="00B504B2">
        <w:rPr>
          <w:rFonts w:eastAsia="Times New Roman"/>
          <w:lang w:eastAsia="ru-RU"/>
        </w:rPr>
        <w:t>. «</w:t>
      </w:r>
      <w:proofErr w:type="spellStart"/>
      <w:r w:rsidRPr="00B504B2">
        <w:rPr>
          <w:rFonts w:eastAsia="Times New Roman"/>
          <w:lang w:eastAsia="ru-RU"/>
        </w:rPr>
        <w:t>Заякоривание</w:t>
      </w:r>
      <w:proofErr w:type="spellEnd"/>
      <w:r w:rsidRPr="00B504B2">
        <w:rPr>
          <w:rFonts w:eastAsia="Times New Roman"/>
          <w:lang w:eastAsia="ru-RU"/>
        </w:rPr>
        <w:t>» инфляционных ожиданий экономических агентов на целевом уровне при одновременном снижении зависимости как реального, так и номинального обменного курса рубля от колебаний цен на нефть создадут возможности для постепенного снижения ключевой ставки Банком России и  закрепления долгосрочных процентных ставок на низком уровне.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Важной частью общей макроэкономической политики также является тарифное регулирование. Ограничение темпов роста тарифов естественных монополий уровнем инфляции в среднесрочной перспективе будет оставаться структурным фактором снижения инфляционного давления, повышения инвестиционной активности частного сектора (в силу снижения издержек и высвобождения ресурсов), а также призвано стимулировать повышение эффективности компаний инфраструктурного сектора.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Таким образом, реализация последовательной и согласованной макроэкономической политики будет обеспечивать стабильность основных макроэкономических параметров – выпуска, инфляции, реального эффективного курса рубля и долгосрочных процентных ставок – на прогнозном горизонте.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 xml:space="preserve">В описанных внешне- и внутриэкономических условиях в базовом и целевом сценариях прогнозируется рост ВВП на уровне 2 % в 2017 году. Этот рост будет носить восстановительный характер и затронет широкий спектр секторов экономики. Если в  2015 – 2016 </w:t>
      </w:r>
      <w:proofErr w:type="gramStart"/>
      <w:r w:rsidRPr="00B504B2">
        <w:rPr>
          <w:rFonts w:eastAsia="Times New Roman"/>
          <w:lang w:eastAsia="ru-RU"/>
        </w:rPr>
        <w:t>годах</w:t>
      </w:r>
      <w:proofErr w:type="gramEnd"/>
      <w:r w:rsidRPr="00B504B2">
        <w:rPr>
          <w:rFonts w:eastAsia="Times New Roman"/>
          <w:lang w:eastAsia="ru-RU"/>
        </w:rPr>
        <w:t xml:space="preserve"> положительные темпы роста выпуска наблюдались только в  торгуемых секторах экономики, получивших конкурентные преимущества от  ослабления рубля, то в 2017 году рост затронет и </w:t>
      </w:r>
      <w:proofErr w:type="spellStart"/>
      <w:r w:rsidRPr="00B504B2">
        <w:rPr>
          <w:rFonts w:eastAsia="Times New Roman"/>
          <w:lang w:eastAsia="ru-RU"/>
        </w:rPr>
        <w:t>неторгуемые</w:t>
      </w:r>
      <w:proofErr w:type="spellEnd"/>
      <w:r w:rsidRPr="00B504B2">
        <w:rPr>
          <w:rFonts w:eastAsia="Times New Roman"/>
          <w:lang w:eastAsia="ru-RU"/>
        </w:rPr>
        <w:t xml:space="preserve"> секторы благодаря восстановлению внутреннего спроса. Таким образом, будет наблюдаться конвергенция темпов роста в торгуемых и </w:t>
      </w:r>
      <w:proofErr w:type="spellStart"/>
      <w:r w:rsidRPr="00B504B2">
        <w:rPr>
          <w:rFonts w:eastAsia="Times New Roman"/>
          <w:lang w:eastAsia="ru-RU"/>
        </w:rPr>
        <w:t>неторгуемых</w:t>
      </w:r>
      <w:proofErr w:type="spellEnd"/>
      <w:r w:rsidRPr="00B504B2">
        <w:rPr>
          <w:rFonts w:eastAsia="Times New Roman"/>
          <w:lang w:eastAsia="ru-RU"/>
        </w:rPr>
        <w:t xml:space="preserve"> </w:t>
      </w:r>
      <w:proofErr w:type="gramStart"/>
      <w:r w:rsidRPr="00B504B2">
        <w:rPr>
          <w:rFonts w:eastAsia="Times New Roman"/>
          <w:lang w:eastAsia="ru-RU"/>
        </w:rPr>
        <w:t>секторах</w:t>
      </w:r>
      <w:proofErr w:type="gramEnd"/>
      <w:r w:rsidRPr="00B504B2">
        <w:rPr>
          <w:rFonts w:eastAsia="Times New Roman"/>
          <w:lang w:eastAsia="ru-RU"/>
        </w:rPr>
        <w:t>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 xml:space="preserve">По оценкам Минэкономразвития России, расходы домашних хозяйств на конечное потребление возрастут в текущем году на 1,6 процента. Это будет обусловлено положительной динамикой доходов населения в реальном </w:t>
      </w:r>
      <w:proofErr w:type="gramStart"/>
      <w:r w:rsidRPr="00B504B2">
        <w:rPr>
          <w:rFonts w:eastAsia="Times New Roman"/>
          <w:lang w:eastAsia="ru-RU"/>
        </w:rPr>
        <w:t>выражении</w:t>
      </w:r>
      <w:proofErr w:type="gramEnd"/>
      <w:r w:rsidRPr="00B504B2">
        <w:rPr>
          <w:rFonts w:eastAsia="Times New Roman"/>
          <w:lang w:eastAsia="ru-RU"/>
        </w:rPr>
        <w:t xml:space="preserve">. Как ожидается, продолжится наметившийся в </w:t>
      </w:r>
      <w:proofErr w:type="gramStart"/>
      <w:r w:rsidRPr="00B504B2">
        <w:rPr>
          <w:rFonts w:eastAsia="Times New Roman"/>
          <w:lang w:eastAsia="ru-RU"/>
        </w:rPr>
        <w:t>прошлом</w:t>
      </w:r>
      <w:proofErr w:type="gramEnd"/>
      <w:r w:rsidRPr="00B504B2">
        <w:rPr>
          <w:rFonts w:eastAsia="Times New Roman"/>
          <w:lang w:eastAsia="ru-RU"/>
        </w:rPr>
        <w:t xml:space="preserve"> году рост реальной заработной платы (на 1,3 % в 2017 году после 0,7 % в 2016 году). Кроме того, поддержку доходам населения окажут и социальные трансферты – важную роль здесь сыграет единовременная выплата пенсионерам. Положительная динамика доходов населения наряду с ожидаемым оживлением потребительского кредитования окажет поддержку обороту розничной торговли (прогнозируется рост на 1,9 % в</w:t>
      </w:r>
      <w:r w:rsidR="00027243">
        <w:rPr>
          <w:rFonts w:eastAsia="Times New Roman"/>
          <w:lang w:eastAsia="ru-RU"/>
        </w:rPr>
        <w:t xml:space="preserve"> 2017 году после снижения на 4,6</w:t>
      </w:r>
      <w:r w:rsidRPr="00B504B2">
        <w:rPr>
          <w:rFonts w:eastAsia="Times New Roman"/>
          <w:lang w:eastAsia="ru-RU"/>
        </w:rPr>
        <w:t xml:space="preserve"> % в 2016 году) и сектору услуг.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lastRenderedPageBreak/>
        <w:t xml:space="preserve">Одновременно в 2017 году ожидается повышение инвестиционной активности: снижение общего уровня экономической неопределенности в условиях значительного объема накопленных собственных ресурсов (рост прибыли </w:t>
      </w:r>
      <w:r w:rsidRPr="00B504B2">
        <w:rPr>
          <w:rFonts w:eastAsia="Calibri"/>
          <w:color w:val="000000"/>
          <w:lang w:eastAsia="ru-RU"/>
        </w:rPr>
        <w:t>в 2015 году составил 17,6 %, в 2016 году – 17,3 процента</w:t>
      </w:r>
      <w:r w:rsidRPr="00B504B2">
        <w:rPr>
          <w:rFonts w:eastAsia="Times New Roman"/>
          <w:lang w:eastAsia="ru-RU"/>
        </w:rPr>
        <w:t xml:space="preserve">). По оценке Минэкономразвития России, инвестиции в  основной капитал вырастут на 2,0 % в 2017 году. Восстановление инвестиционного спроса поддержит выпуск в инвестиционно-ориентированных </w:t>
      </w:r>
      <w:proofErr w:type="gramStart"/>
      <w:r w:rsidRPr="00B504B2">
        <w:rPr>
          <w:rFonts w:eastAsia="Times New Roman"/>
          <w:lang w:eastAsia="ru-RU"/>
        </w:rPr>
        <w:t>отраслях</w:t>
      </w:r>
      <w:proofErr w:type="gramEnd"/>
      <w:r w:rsidRPr="00B504B2">
        <w:rPr>
          <w:rFonts w:eastAsia="Times New Roman"/>
          <w:lang w:eastAsia="ru-RU"/>
        </w:rPr>
        <w:t xml:space="preserve"> (таких как производство машин и оборудования, производство транспортных средств, производство прочих неметаллических изделий).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 xml:space="preserve">В консервативном варианте прогноза ожидается, что темп роста ВВП не превысит 0,2 % в 2017 году, однако все же останется положительным. </w:t>
      </w:r>
      <w:proofErr w:type="gramStart"/>
      <w:r w:rsidRPr="00B504B2">
        <w:rPr>
          <w:rFonts w:eastAsia="Times New Roman"/>
          <w:lang w:eastAsia="ru-RU"/>
        </w:rPr>
        <w:t>Более низкие темпы экономического роста по сравнению с базовым и целевым сценариями будут обусловлены не только снижением доходов от экспортной деятельности, но  и  ухудшением настроений экономических агентов и формированием дополнительного оттока капитала, что в первую очередь скажется на инвестиционной активности.</w:t>
      </w:r>
      <w:proofErr w:type="gramEnd"/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 xml:space="preserve">Что касается инфляционной динамики, то в базовом и целевом </w:t>
      </w:r>
      <w:proofErr w:type="gramStart"/>
      <w:r w:rsidRPr="00B504B2">
        <w:rPr>
          <w:rFonts w:eastAsia="Times New Roman"/>
          <w:lang w:eastAsia="ru-RU"/>
        </w:rPr>
        <w:t>вариантах</w:t>
      </w:r>
      <w:proofErr w:type="gramEnd"/>
      <w:r w:rsidRPr="00B504B2">
        <w:rPr>
          <w:rFonts w:eastAsia="Times New Roman"/>
          <w:lang w:eastAsia="ru-RU"/>
        </w:rPr>
        <w:t xml:space="preserve"> прогноза в 2017 году прогнозируется дальнейшее замедление годовых темпов инфляции с текущих значений (4,3 % г/г в марте). Ожидается, что инфляция достигнет целевого уровня в </w:t>
      </w:r>
      <w:proofErr w:type="gramStart"/>
      <w:r w:rsidRPr="00B504B2">
        <w:rPr>
          <w:rFonts w:eastAsia="Times New Roman"/>
          <w:lang w:eastAsia="ru-RU"/>
        </w:rPr>
        <w:t>мае-июне</w:t>
      </w:r>
      <w:proofErr w:type="gramEnd"/>
      <w:r w:rsidRPr="00B504B2">
        <w:rPr>
          <w:rFonts w:eastAsia="Times New Roman"/>
          <w:lang w:eastAsia="ru-RU"/>
        </w:rPr>
        <w:t>, а в декабре 2017 года составит 3,8 процента. Прогнозируемое снижение инфляции ниже цели обусловлено разовым фактором – масштабным укреплением рубля в начале 2017 года. В 2018 – 2020 годах инфляция прогнозируется на целевом уровне – как в базовом, так и в целевом сценарии.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В консервативном варианте прогноза на фоне более заметного ослабления рубля, с  одной стороны, и более низких темпов экономического роста, с другой, прогнозируется, что инфляция в конце 2017 года составит 4,1 %, в 2018 году – повысится до уровня 4,3  % на конец года, а с 2019 года – закрепится на целевом уровне.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После завершения периода восстановительного экономического роста в базовом варианте прогноза ожидается снижение темпов роста ВВП до уровня, соответствующего потенциальным темпам экономического роста (около 1,5 процента). В консервативном варианте ожидается, что темп роста ВВП приблизится к указанному уровню в 2020 году.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Низкие темпы роста потенциального выпуска обусловлены существующими в  российской экономике ограничениями на факторы производства, которые касаются как трудовых ресурсов в силу неблагоприятной демографической ситуации, так  и  капитальных ресурсов (в силу недостаточного для необходимой модернизации объема и качества инвестиций в основной капитал).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 xml:space="preserve">На устранение указанных ограничений для экономического роста направлены меры, разрабатываемые в </w:t>
      </w:r>
      <w:proofErr w:type="gramStart"/>
      <w:r w:rsidRPr="00B504B2">
        <w:rPr>
          <w:rFonts w:eastAsia="Times New Roman"/>
          <w:lang w:eastAsia="ru-RU"/>
        </w:rPr>
        <w:t>рамках</w:t>
      </w:r>
      <w:proofErr w:type="gramEnd"/>
      <w:r w:rsidRPr="00B504B2">
        <w:rPr>
          <w:rFonts w:eastAsia="Times New Roman"/>
          <w:lang w:eastAsia="ru-RU"/>
        </w:rPr>
        <w:t xml:space="preserve"> подготовки Комплексного плана действий Правительства. 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lastRenderedPageBreak/>
        <w:t xml:space="preserve">Таким образом, структурные меры, заложенные в целевой вариант прогноза, должны обеспечить: </w:t>
      </w:r>
    </w:p>
    <w:p w:rsidR="00B504B2" w:rsidRPr="00B504B2" w:rsidRDefault="00B504B2" w:rsidP="00B504B2">
      <w:pPr>
        <w:numPr>
          <w:ilvl w:val="0"/>
          <w:numId w:val="1"/>
        </w:numPr>
        <w:spacing w:before="120" w:after="0" w:line="276" w:lineRule="auto"/>
        <w:jc w:val="left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 xml:space="preserve">Рост численности </w:t>
      </w:r>
      <w:proofErr w:type="gramStart"/>
      <w:r w:rsidRPr="00B504B2">
        <w:rPr>
          <w:rFonts w:eastAsia="Times New Roman"/>
          <w:lang w:eastAsia="ru-RU"/>
        </w:rPr>
        <w:t>занятых</w:t>
      </w:r>
      <w:proofErr w:type="gramEnd"/>
      <w:r w:rsidRPr="00B504B2">
        <w:rPr>
          <w:rFonts w:eastAsia="Times New Roman"/>
          <w:lang w:eastAsia="ru-RU"/>
        </w:rPr>
        <w:t xml:space="preserve"> в экономике (за счет повышения экономической активности населения, роста мобильности на рынке труда, снижения уровня структурной безработицы, роста продолжительности активной жизни).</w:t>
      </w:r>
    </w:p>
    <w:p w:rsidR="00B504B2" w:rsidRPr="00B504B2" w:rsidRDefault="00B504B2" w:rsidP="00B504B2">
      <w:pPr>
        <w:numPr>
          <w:ilvl w:val="0"/>
          <w:numId w:val="1"/>
        </w:numPr>
        <w:spacing w:before="120" w:after="0" w:line="276" w:lineRule="auto"/>
        <w:jc w:val="left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Рост инвестиционной активности:</w:t>
      </w:r>
    </w:p>
    <w:p w:rsidR="00B504B2" w:rsidRPr="00B504B2" w:rsidRDefault="00B504B2" w:rsidP="00B504B2">
      <w:pPr>
        <w:numPr>
          <w:ilvl w:val="1"/>
          <w:numId w:val="1"/>
        </w:numPr>
        <w:spacing w:before="120" w:after="0" w:line="276" w:lineRule="auto"/>
        <w:jc w:val="left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с помощью создания предсказуемых условий ведения бизнеса на макр</w:t>
      </w:r>
      <w:proofErr w:type="gramStart"/>
      <w:r w:rsidRPr="00B504B2">
        <w:rPr>
          <w:rFonts w:eastAsia="Times New Roman"/>
          <w:lang w:eastAsia="ru-RU"/>
        </w:rPr>
        <w:t>о-</w:t>
      </w:r>
      <w:proofErr w:type="gramEnd"/>
      <w:r w:rsidRPr="00B504B2">
        <w:rPr>
          <w:rFonts w:eastAsia="Times New Roman"/>
          <w:lang w:eastAsia="ru-RU"/>
        </w:rPr>
        <w:t xml:space="preserve"> и микроуровне</w:t>
      </w:r>
    </w:p>
    <w:p w:rsidR="00B504B2" w:rsidRPr="00B504B2" w:rsidRDefault="00B504B2" w:rsidP="00B504B2">
      <w:pPr>
        <w:numPr>
          <w:ilvl w:val="1"/>
          <w:numId w:val="1"/>
        </w:numPr>
        <w:spacing w:before="120" w:after="0" w:line="276" w:lineRule="auto"/>
        <w:jc w:val="left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посредством улучшения делового климата, трансформации налоговой системы, системы поддержки экспорта</w:t>
      </w:r>
    </w:p>
    <w:p w:rsidR="00B504B2" w:rsidRPr="00B504B2" w:rsidRDefault="00B504B2" w:rsidP="00B504B2">
      <w:pPr>
        <w:numPr>
          <w:ilvl w:val="1"/>
          <w:numId w:val="1"/>
        </w:numPr>
        <w:spacing w:before="120" w:after="0" w:line="276" w:lineRule="auto"/>
        <w:jc w:val="left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развития института проектного финансирования, обеспечивающего сопровождение проекта на всех стадиях – от разработки до правильного структурирования финансирования и последующего процесса реализации.</w:t>
      </w:r>
    </w:p>
    <w:p w:rsidR="00B504B2" w:rsidRPr="00B504B2" w:rsidRDefault="00B504B2" w:rsidP="00B504B2">
      <w:pPr>
        <w:numPr>
          <w:ilvl w:val="0"/>
          <w:numId w:val="1"/>
        </w:numPr>
        <w:spacing w:before="120" w:after="0" w:line="276" w:lineRule="auto"/>
        <w:jc w:val="left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Рост производительности труда (посредством реализации приоритетного проекта по повышению производительности труда, улучшения качества человеческого капитала через модернизацию системы образования и повышения квалификации).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  <w:r w:rsidRPr="00B504B2">
        <w:rPr>
          <w:rFonts w:eastAsia="Times New Roman"/>
          <w:lang w:eastAsia="ru-RU"/>
        </w:rPr>
        <w:t>Предлагаемый компле</w:t>
      </w:r>
      <w:proofErr w:type="gramStart"/>
      <w:r w:rsidRPr="00B504B2">
        <w:rPr>
          <w:rFonts w:eastAsia="Times New Roman"/>
          <w:lang w:eastAsia="ru-RU"/>
        </w:rPr>
        <w:t>кс стр</w:t>
      </w:r>
      <w:proofErr w:type="gramEnd"/>
      <w:r w:rsidRPr="00B504B2">
        <w:rPr>
          <w:rFonts w:eastAsia="Times New Roman"/>
          <w:lang w:eastAsia="ru-RU"/>
        </w:rPr>
        <w:t>уктурных мер должен обеспечить ускорение темпов экономического роста до 3,1 % в 2020 году при существенном росте доли инвестиций в основной капитал, что позволит создать условия для устойчивого экономического роста в будущем.</w:t>
      </w:r>
    </w:p>
    <w:p w:rsidR="00B504B2" w:rsidRPr="00B504B2" w:rsidRDefault="00B504B2" w:rsidP="00B504B2">
      <w:pPr>
        <w:spacing w:after="0" w:line="276" w:lineRule="auto"/>
        <w:ind w:firstLine="709"/>
        <w:rPr>
          <w:rFonts w:eastAsia="Times New Roman"/>
          <w:lang w:eastAsia="ru-RU"/>
        </w:rPr>
      </w:pPr>
    </w:p>
    <w:p w:rsidR="00B504B2" w:rsidRPr="00B504B2" w:rsidRDefault="00B504B2" w:rsidP="00B504B2">
      <w:pPr>
        <w:spacing w:line="276" w:lineRule="auto"/>
        <w:jc w:val="left"/>
        <w:rPr>
          <w:rFonts w:eastAsia="Times New Roman"/>
          <w:lang w:eastAsia="ru-RU"/>
        </w:rPr>
      </w:pPr>
      <w:bookmarkStart w:id="2" w:name="_GoBack"/>
      <w:bookmarkEnd w:id="2"/>
    </w:p>
    <w:sectPr w:rsidR="00B504B2" w:rsidRPr="00B504B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F49" w:rsidRDefault="00976F49" w:rsidP="00027243">
      <w:pPr>
        <w:spacing w:after="0"/>
      </w:pPr>
      <w:r>
        <w:separator/>
      </w:r>
    </w:p>
  </w:endnote>
  <w:endnote w:type="continuationSeparator" w:id="0">
    <w:p w:rsidR="00976F49" w:rsidRDefault="00976F49" w:rsidP="000272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F49" w:rsidRDefault="00976F49" w:rsidP="00027243">
      <w:pPr>
        <w:spacing w:after="0"/>
      </w:pPr>
      <w:r>
        <w:separator/>
      </w:r>
    </w:p>
  </w:footnote>
  <w:footnote w:type="continuationSeparator" w:id="0">
    <w:p w:rsidR="00976F49" w:rsidRDefault="00976F49" w:rsidP="000272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318738"/>
      <w:docPartObj>
        <w:docPartGallery w:val="Page Numbers (Top of Page)"/>
        <w:docPartUnique/>
      </w:docPartObj>
    </w:sdtPr>
    <w:sdtContent>
      <w:p w:rsidR="00027243" w:rsidRDefault="000272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B53">
          <w:rPr>
            <w:noProof/>
          </w:rPr>
          <w:t>6</w:t>
        </w:r>
        <w:r>
          <w:fldChar w:fldCharType="end"/>
        </w:r>
      </w:p>
    </w:sdtContent>
  </w:sdt>
  <w:p w:rsidR="00027243" w:rsidRDefault="0002724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A5065"/>
    <w:multiLevelType w:val="hybridMultilevel"/>
    <w:tmpl w:val="D382D5C0"/>
    <w:lvl w:ilvl="0" w:tplc="DDA6BC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66AE6">
      <w:start w:val="65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023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0084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04BE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582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DCC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2B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063B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40B1C51"/>
    <w:multiLevelType w:val="hybridMultilevel"/>
    <w:tmpl w:val="89F2813C"/>
    <w:lvl w:ilvl="0" w:tplc="738E7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B2"/>
    <w:rsid w:val="00027243"/>
    <w:rsid w:val="00752B53"/>
    <w:rsid w:val="007C0ECA"/>
    <w:rsid w:val="00976F49"/>
    <w:rsid w:val="00B504B2"/>
    <w:rsid w:val="00BF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autoRedefine/>
    <w:qFormat/>
    <w:rsid w:val="00BF0BFE"/>
    <w:pPr>
      <w:spacing w:before="120" w:after="0" w:line="360" w:lineRule="auto"/>
      <w:ind w:firstLine="709"/>
    </w:pPr>
    <w:rPr>
      <w:rFonts w:eastAsia="Times New Roman"/>
      <w:lang w:eastAsia="ru-RU"/>
    </w:rPr>
  </w:style>
  <w:style w:type="character" w:customStyle="1" w:styleId="10">
    <w:name w:val="Стиль1 Знак"/>
    <w:basedOn w:val="a0"/>
    <w:link w:val="1"/>
    <w:rsid w:val="00BF0BFE"/>
    <w:rPr>
      <w:rFonts w:eastAsia="Times New Roman"/>
      <w:lang w:eastAsia="ru-RU"/>
    </w:rPr>
  </w:style>
  <w:style w:type="paragraph" w:styleId="a3">
    <w:name w:val="header"/>
    <w:basedOn w:val="a"/>
    <w:link w:val="a4"/>
    <w:uiPriority w:val="99"/>
    <w:unhideWhenUsed/>
    <w:rsid w:val="0002724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027243"/>
  </w:style>
  <w:style w:type="paragraph" w:styleId="a5">
    <w:name w:val="footer"/>
    <w:basedOn w:val="a"/>
    <w:link w:val="a6"/>
    <w:uiPriority w:val="99"/>
    <w:unhideWhenUsed/>
    <w:rsid w:val="0002724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0272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autoRedefine/>
    <w:qFormat/>
    <w:rsid w:val="00BF0BFE"/>
    <w:pPr>
      <w:spacing w:before="120" w:after="0" w:line="360" w:lineRule="auto"/>
      <w:ind w:firstLine="709"/>
    </w:pPr>
    <w:rPr>
      <w:rFonts w:eastAsia="Times New Roman"/>
      <w:lang w:eastAsia="ru-RU"/>
    </w:rPr>
  </w:style>
  <w:style w:type="character" w:customStyle="1" w:styleId="10">
    <w:name w:val="Стиль1 Знак"/>
    <w:basedOn w:val="a0"/>
    <w:link w:val="1"/>
    <w:rsid w:val="00BF0BFE"/>
    <w:rPr>
      <w:rFonts w:eastAsia="Times New Roman"/>
      <w:lang w:eastAsia="ru-RU"/>
    </w:rPr>
  </w:style>
  <w:style w:type="paragraph" w:styleId="a3">
    <w:name w:val="header"/>
    <w:basedOn w:val="a"/>
    <w:link w:val="a4"/>
    <w:uiPriority w:val="99"/>
    <w:unhideWhenUsed/>
    <w:rsid w:val="0002724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027243"/>
  </w:style>
  <w:style w:type="paragraph" w:styleId="a5">
    <w:name w:val="footer"/>
    <w:basedOn w:val="a"/>
    <w:link w:val="a6"/>
    <w:uiPriority w:val="99"/>
    <w:unhideWhenUsed/>
    <w:rsid w:val="0002724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02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B3FE2-EE97-433D-914F-297CB4793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2239</Words>
  <Characters>12764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Жевнов Евгений Павлович</dc:creator>
  <cp:lastModifiedBy>Жевнов Евгений Павлович</cp:lastModifiedBy>
  <cp:revision>3</cp:revision>
  <dcterms:created xsi:type="dcterms:W3CDTF">2017-04-25T07:07:00Z</dcterms:created>
  <dcterms:modified xsi:type="dcterms:W3CDTF">2017-04-25T13:30:00Z</dcterms:modified>
</cp:coreProperties>
</file>